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98441">
      <w:pPr>
        <w:snapToGrid w:val="0"/>
        <w:spacing w:after="156" w:afterLines="50" w:line="312" w:lineRule="auto"/>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国家级奖项+4！</w:t>
      </w:r>
      <w:r>
        <w:rPr>
          <w:rFonts w:hint="eastAsia" w:ascii="宋体" w:hAnsi="宋体" w:eastAsia="宋体" w:cs="宋体"/>
          <w:b/>
          <w:bCs/>
          <w:sz w:val="36"/>
          <w:szCs w:val="36"/>
        </w:rPr>
        <w:t>物电学子</w:t>
      </w:r>
      <w:r>
        <w:rPr>
          <w:rFonts w:hint="eastAsia" w:ascii="宋体" w:hAnsi="宋体" w:eastAsia="宋体" w:cs="宋体"/>
          <w:b/>
          <w:bCs/>
          <w:sz w:val="36"/>
          <w:szCs w:val="36"/>
          <w:lang w:eastAsia="zh-CN"/>
        </w:rPr>
        <w:t>在</w:t>
      </w:r>
      <w:r>
        <w:rPr>
          <w:rFonts w:hint="eastAsia" w:ascii="宋体" w:hAnsi="宋体" w:eastAsia="宋体" w:cs="宋体"/>
          <w:b/>
          <w:bCs/>
          <w:sz w:val="36"/>
          <w:szCs w:val="36"/>
        </w:rPr>
        <w:t>第十届全国大学生物理实验竞赛（</w:t>
      </w:r>
      <w:bookmarkStart w:id="1" w:name="_GoBack"/>
      <w:bookmarkEnd w:id="1"/>
      <w:r>
        <w:rPr>
          <w:rFonts w:hint="eastAsia" w:ascii="宋体" w:hAnsi="宋体" w:eastAsia="宋体" w:cs="宋体"/>
          <w:b/>
          <w:bCs/>
          <w:sz w:val="36"/>
          <w:szCs w:val="36"/>
        </w:rPr>
        <w:t>创新）大赛</w:t>
      </w:r>
      <w:r>
        <w:rPr>
          <w:rFonts w:hint="eastAsia" w:ascii="宋体" w:hAnsi="宋体" w:eastAsia="宋体" w:cs="宋体"/>
          <w:b/>
          <w:bCs/>
          <w:sz w:val="36"/>
          <w:szCs w:val="36"/>
          <w:lang w:val="en-US" w:eastAsia="zh-CN"/>
        </w:rPr>
        <w:t>中</w:t>
      </w:r>
      <w:r>
        <w:rPr>
          <w:rFonts w:hint="eastAsia" w:ascii="宋体" w:hAnsi="宋体" w:eastAsia="宋体" w:cs="宋体"/>
          <w:b/>
          <w:bCs/>
          <w:sz w:val="36"/>
          <w:szCs w:val="36"/>
        </w:rPr>
        <w:t>斩获佳绩</w:t>
      </w:r>
    </w:p>
    <w:p w14:paraId="32170427">
      <w:pPr>
        <w:spacing w:line="360" w:lineRule="auto"/>
        <w:rPr>
          <w:b/>
          <w:sz w:val="28"/>
          <w:szCs w:val="28"/>
        </w:rPr>
      </w:pPr>
    </w:p>
    <w:p w14:paraId="7619F43D">
      <w:pPr>
        <w:spacing w:after="156"/>
        <w:jc w:val="right"/>
      </w:pPr>
      <w:r>
        <w:rPr>
          <w:rFonts w:hint="eastAsia" w:asciiTheme="majorEastAsia" w:hAnsiTheme="majorEastAsia" w:eastAsiaTheme="majorEastAsia" w:cstheme="majorEastAsia"/>
          <w:color w:val="000000" w:themeColor="text1"/>
          <w:szCs w:val="21"/>
          <w14:textFill>
            <w14:solidFill>
              <w14:schemeClr w14:val="tx1"/>
            </w14:solidFill>
          </w14:textFill>
        </w:rPr>
        <w:t>图</w:t>
      </w: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邹代峰</w:t>
      </w:r>
      <w:r>
        <w:rPr>
          <w:rFonts w:hint="eastAsia" w:asciiTheme="majorEastAsia" w:hAnsiTheme="majorEastAsia" w:eastAsiaTheme="majorEastAsia" w:cstheme="majorEastAsia"/>
          <w:color w:val="000000" w:themeColor="text1"/>
          <w:szCs w:val="21"/>
          <w14:textFill>
            <w14:solidFill>
              <w14:schemeClr w14:val="tx1"/>
            </w14:solidFill>
          </w14:textFill>
        </w:rPr>
        <w:t>/文：</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赵明卓</w:t>
      </w:r>
    </w:p>
    <w:p w14:paraId="717F3258">
      <w:pPr>
        <w:snapToGrid/>
        <w:spacing w:before="156" w:beforeLines="50" w:after="156" w:afterLines="5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11月22</w:t>
      </w:r>
      <w:r>
        <w:rPr>
          <w:rFonts w:hint="eastAsia" w:ascii="宋体" w:hAnsi="宋体" w:eastAsia="宋体" w:cs="宋体"/>
          <w:sz w:val="24"/>
          <w:szCs w:val="24"/>
          <w:lang w:val="en-US" w:eastAsia="zh-CN"/>
        </w:rPr>
        <w:t>至</w:t>
      </w:r>
      <w:r>
        <w:rPr>
          <w:rFonts w:hint="eastAsia" w:ascii="宋体" w:hAnsi="宋体" w:eastAsia="宋体" w:cs="宋体"/>
          <w:sz w:val="24"/>
          <w:szCs w:val="24"/>
        </w:rPr>
        <w:t>25日，第</w:t>
      </w:r>
      <w:bookmarkStart w:id="0" w:name="OLE_LINK1"/>
      <w:r>
        <w:rPr>
          <w:rFonts w:hint="eastAsia" w:ascii="宋体" w:hAnsi="宋体" w:eastAsia="宋体" w:cs="宋体"/>
          <w:sz w:val="24"/>
          <w:szCs w:val="24"/>
        </w:rPr>
        <w:t>十届全国大学生物理实验竞赛（创新）</w:t>
      </w:r>
      <w:bookmarkEnd w:id="0"/>
      <w:r>
        <w:rPr>
          <w:rFonts w:hint="eastAsia" w:ascii="宋体" w:hAnsi="宋体" w:eastAsia="宋体" w:cs="宋体"/>
          <w:sz w:val="24"/>
          <w:szCs w:val="24"/>
        </w:rPr>
        <w:t>决赛在北京航空航天大学沙河校区顺利举行。此次竞赛在高等学校国家级实验教学示范中心联席会物理学科组、教育部高等学校大学物理课程教学指导委员会、教育部高等学校物理学类专业教学指导委员会和中国物理学会物理教学委员会指导下，由全国大学生物理实验竞赛组委会和全国高等学校实验物理教学研究会主办，北京航空航天大学承办，《物理实验》杂志和高等教育出版社物理分社协办。来自全国667所高校、2755支队伍、15715名师生报名参赛。</w:t>
      </w:r>
    </w:p>
    <w:p w14:paraId="450ABCAC">
      <w:pPr>
        <w:jc w:val="center"/>
        <w:rPr>
          <w:rFonts w:hint="eastAsia" w:ascii="宋体" w:hAnsi="宋体" w:eastAsia="宋体" w:cs="宋体"/>
          <w:szCs w:val="21"/>
        </w:rPr>
      </w:pPr>
      <w:r>
        <w:rPr>
          <w:sz w:val="28"/>
          <w:szCs w:val="28"/>
        </w:rPr>
        <w:drawing>
          <wp:anchor distT="0" distB="0" distL="0" distR="0" simplePos="0" relativeHeight="251659264" behindDoc="0" locked="0" layoutInCell="1" allowOverlap="1">
            <wp:simplePos x="0" y="0"/>
            <wp:positionH relativeFrom="column">
              <wp:posOffset>268605</wp:posOffset>
            </wp:positionH>
            <wp:positionV relativeFrom="paragraph">
              <wp:posOffset>40640</wp:posOffset>
            </wp:positionV>
            <wp:extent cx="4777105" cy="3183890"/>
            <wp:effectExtent l="0" t="0" r="4445" b="1651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77105" cy="3183890"/>
                    </a:xfrm>
                    <a:prstGeom prst="rect">
                      <a:avLst/>
                    </a:prstGeom>
                  </pic:spPr>
                </pic:pic>
              </a:graphicData>
            </a:graphic>
          </wp:anchor>
        </w:drawing>
      </w:r>
      <w:r>
        <w:rPr>
          <w:rFonts w:hint="eastAsia" w:ascii="宋体" w:hAnsi="宋体" w:eastAsia="宋体" w:cs="宋体"/>
          <w:szCs w:val="21"/>
        </w:rPr>
        <w:t>▲现场专家提问</w:t>
      </w:r>
    </w:p>
    <w:p w14:paraId="695C2174">
      <w:pPr>
        <w:jc w:val="center"/>
        <w:rPr>
          <w:rFonts w:hint="eastAsia" w:ascii="宋体" w:hAnsi="宋体" w:eastAsia="宋体" w:cs="宋体"/>
          <w:sz w:val="24"/>
          <w:szCs w:val="24"/>
        </w:rPr>
      </w:pPr>
    </w:p>
    <w:p w14:paraId="53E0AAB9">
      <w:pPr>
        <w:snapToGrid/>
        <w:spacing w:before="156" w:beforeLines="50" w:after="156" w:afterLines="50" w:line="500" w:lineRule="exact"/>
        <w:ind w:firstLine="480" w:firstLineChars="200"/>
        <w:rPr>
          <w:rFonts w:hint="eastAsia" w:ascii="宋体" w:hAnsi="宋体" w:eastAsia="宋体" w:cs="宋体"/>
          <w:szCs w:val="21"/>
        </w:rPr>
      </w:pPr>
      <w:r>
        <w:rPr>
          <w:rFonts w:hint="eastAsia" w:ascii="宋体" w:hAnsi="宋体" w:eastAsia="宋体" w:cs="宋体"/>
          <w:sz w:val="24"/>
          <w:szCs w:val="24"/>
        </w:rPr>
        <w:t>湖南科技大学物理与电子科学学院共有4支队伍参与比赛，选手们表现出色。在命题类和自选类实物作品赛中，参赛选手们凭借出色的实验设计和精湛的实验技能，分别斩获国家级二等奖2项。同时，在物理实验讲课类比赛中，我院参赛队伍获国家级三等奖2项。这些成绩的取得，展示了我院专业人才培养质量以及学生们的创新思维和实践能力。</w:t>
      </w:r>
      <w:r>
        <w:rPr>
          <w:rFonts w:hint="eastAsia"/>
          <w:sz w:val="22"/>
          <w:szCs w:val="22"/>
        </w:rPr>
        <w:t xml:space="preserve">     </w:t>
      </w:r>
    </w:p>
    <w:p w14:paraId="3D5E4E74">
      <w:pPr>
        <w:pStyle w:val="9"/>
        <w:jc w:val="both"/>
        <w:rPr>
          <w:sz w:val="22"/>
          <w:szCs w:val="22"/>
        </w:rPr>
      </w:pPr>
      <w:r>
        <w:rPr>
          <w:sz w:val="28"/>
          <w:szCs w:val="28"/>
        </w:rPr>
        <w:drawing>
          <wp:anchor distT="0" distB="0" distL="0" distR="0" simplePos="0" relativeHeight="251660288" behindDoc="0" locked="0" layoutInCell="1" allowOverlap="1">
            <wp:simplePos x="0" y="0"/>
            <wp:positionH relativeFrom="column">
              <wp:posOffset>173990</wp:posOffset>
            </wp:positionH>
            <wp:positionV relativeFrom="paragraph">
              <wp:posOffset>20955</wp:posOffset>
            </wp:positionV>
            <wp:extent cx="5022215" cy="3390900"/>
            <wp:effectExtent l="0" t="0" r="698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22215" cy="3390900"/>
                    </a:xfrm>
                    <a:prstGeom prst="rect">
                      <a:avLst/>
                    </a:prstGeom>
                  </pic:spPr>
                </pic:pic>
              </a:graphicData>
            </a:graphic>
          </wp:anchor>
        </w:drawing>
      </w:r>
    </w:p>
    <w:p w14:paraId="098A912F">
      <w:pPr>
        <w:jc w:val="center"/>
        <w:rPr>
          <w:rFonts w:hint="eastAsia" w:ascii="宋体" w:hAnsi="宋体" w:eastAsia="宋体" w:cs="宋体"/>
          <w:sz w:val="24"/>
          <w:szCs w:val="24"/>
        </w:rPr>
      </w:pPr>
      <w:r>
        <w:rPr>
          <w:rFonts w:hint="eastAsia" w:ascii="宋体" w:hAnsi="宋体" w:eastAsia="宋体" w:cs="宋体"/>
          <w:szCs w:val="21"/>
        </w:rPr>
        <w:t>▲比赛合影</w:t>
      </w:r>
    </w:p>
    <w:p w14:paraId="50042CCD">
      <w:pPr>
        <w:snapToGrid/>
        <w:spacing w:before="156" w:beforeLines="50" w:after="156" w:afterLines="5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全国大学生物理实验竞赛（创新）始于2010年，于2020年入选全国普通高校大学生竞赛排行榜，是进入该排行榜的唯一物理类竞赛，在大学生课外科技竞赛领域具有广泛的影响力。旨在激发大学生对物理学和物理实验的兴趣，提高其创新意识、知识综合运用能力和实践能力。全国大学生物理实验竞赛不仅是一个展示大学生物理实验技能和团队协作能力的平台，更是一个促进高校之间交流与合作、推动物理实验教学改革与创新发展的重要契机。我院一直以来高度重视学科竞赛等各类创新创业活动，始终坚持“以赛促教、以赛促学”的理念，积极为学生搭建展示自我、挑战自我的平台。通过此次竞赛的历练和洗礼，相信我院学子将更加注重创新思维和实践能力的培养，为未来的科学研究和技术创新打下坚实的基础。</w:t>
      </w:r>
    </w:p>
    <w:p w14:paraId="22809C8F">
      <w:pPr>
        <w:snapToGrid/>
        <w:spacing w:before="156" w:beforeLines="50" w:after="156" w:afterLines="50" w:line="500" w:lineRule="exact"/>
        <w:ind w:firstLine="480" w:firstLineChars="200"/>
        <w:rPr>
          <w:rFonts w:hint="eastAsia" w:ascii="宋体" w:hAnsi="宋体" w:eastAsia="宋体" w:cs="宋体"/>
          <w:sz w:val="24"/>
          <w:szCs w:val="24"/>
        </w:rPr>
      </w:pPr>
    </w:p>
    <w:p w14:paraId="165518D9">
      <w:pPr>
        <w:snapToGrid/>
        <w:spacing w:before="156" w:beforeLines="50" w:after="156" w:afterLines="50"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一审：贺祖龙  二审：许英  三审：易贵元</w:t>
      </w:r>
      <w:r>
        <w:rPr>
          <w:rFonts w:hint="eastAsia" w:ascii="宋体" w:hAnsi="宋体" w:eastAsia="宋体" w:cs="宋体"/>
          <w:sz w:val="24"/>
          <w:szCs w:val="24"/>
          <w:lang w:eastAsia="zh-CN"/>
        </w:rPr>
        <w:t>）</w:t>
      </w:r>
    </w:p>
    <w:p w14:paraId="7720AF5B">
      <w:pPr>
        <w:snapToGrid/>
        <w:spacing w:before="156" w:beforeLines="50" w:after="156" w:afterLines="5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附获奖名单：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499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vAlign w:val="center"/>
          </w:tcPr>
          <w:p w14:paraId="7352E716">
            <w:pPr>
              <w:snapToGrid/>
              <w:spacing w:before="156" w:beforeLines="50" w:after="156" w:afterLines="50"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奖项</w:t>
            </w:r>
          </w:p>
        </w:tc>
        <w:tc>
          <w:tcPr>
            <w:tcW w:w="2841" w:type="dxa"/>
            <w:vAlign w:val="center"/>
          </w:tcPr>
          <w:p w14:paraId="79258B56">
            <w:pPr>
              <w:snapToGrid/>
              <w:spacing w:before="156" w:beforeLines="50" w:after="156" w:afterLines="50"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w:t>
            </w:r>
          </w:p>
        </w:tc>
        <w:tc>
          <w:tcPr>
            <w:tcW w:w="2841" w:type="dxa"/>
            <w:vAlign w:val="center"/>
          </w:tcPr>
          <w:p w14:paraId="021590BD">
            <w:pPr>
              <w:snapToGrid/>
              <w:spacing w:before="156" w:beforeLines="50" w:after="156" w:afterLines="50" w:line="500" w:lineRule="exact"/>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队员</w:t>
            </w:r>
          </w:p>
        </w:tc>
      </w:tr>
      <w:tr w14:paraId="6857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52EAD698">
            <w:pPr>
              <w:snapToGrid/>
              <w:spacing w:before="156" w:beforeLines="50" w:after="156" w:afterLines="50" w:line="500" w:lineRule="exact"/>
              <w:jc w:val="center"/>
              <w:rPr>
                <w:rFonts w:hint="eastAsia" w:ascii="宋体" w:hAnsi="宋体" w:eastAsia="宋体" w:cs="宋体"/>
                <w:sz w:val="24"/>
                <w:szCs w:val="24"/>
                <w:vertAlign w:val="baseline"/>
              </w:rPr>
            </w:pPr>
            <w:r>
              <w:rPr>
                <w:rFonts w:hint="eastAsia" w:ascii="宋体" w:hAnsi="宋体" w:eastAsia="宋体" w:cs="宋体"/>
                <w:sz w:val="24"/>
                <w:szCs w:val="24"/>
              </w:rPr>
              <w:t>二等奖</w:t>
            </w:r>
          </w:p>
        </w:tc>
        <w:tc>
          <w:tcPr>
            <w:tcW w:w="2841" w:type="dxa"/>
            <w:vAlign w:val="center"/>
          </w:tcPr>
          <w:p w14:paraId="60F41B4F">
            <w:pPr>
              <w:snapToGrid/>
              <w:spacing w:before="156" w:beforeLines="50" w:after="156" w:afterLines="50" w:line="500" w:lineRule="exact"/>
              <w:jc w:val="center"/>
              <w:rPr>
                <w:rFonts w:hint="eastAsia" w:ascii="宋体" w:hAnsi="宋体" w:eastAsia="宋体" w:cs="宋体"/>
                <w:sz w:val="24"/>
                <w:szCs w:val="24"/>
                <w:vertAlign w:val="baseline"/>
              </w:rPr>
            </w:pPr>
            <w:r>
              <w:rPr>
                <w:rFonts w:hint="eastAsia" w:ascii="宋体" w:hAnsi="宋体" w:eastAsia="宋体" w:cs="宋体"/>
                <w:sz w:val="24"/>
                <w:szCs w:val="24"/>
              </w:rPr>
              <w:t>简谐振动的模拟仿真与音乐的物理原理探究</w:t>
            </w:r>
          </w:p>
        </w:tc>
        <w:tc>
          <w:tcPr>
            <w:tcW w:w="2841" w:type="dxa"/>
            <w:vAlign w:val="center"/>
          </w:tcPr>
          <w:p w14:paraId="6ECF37C5">
            <w:pPr>
              <w:snapToGrid/>
              <w:spacing w:before="156" w:beforeLines="50" w:after="156" w:afterLines="50" w:line="500" w:lineRule="exact"/>
              <w:jc w:val="center"/>
              <w:rPr>
                <w:rFonts w:hint="eastAsia" w:ascii="宋体" w:hAnsi="宋体" w:eastAsia="宋体" w:cs="宋体"/>
                <w:sz w:val="24"/>
                <w:szCs w:val="24"/>
              </w:rPr>
            </w:pPr>
            <w:r>
              <w:rPr>
                <w:rFonts w:hint="eastAsia" w:ascii="宋体" w:hAnsi="宋体" w:eastAsia="宋体" w:cs="宋体"/>
                <w:sz w:val="24"/>
                <w:szCs w:val="24"/>
              </w:rPr>
              <w:t>陈锡闯</w:t>
            </w:r>
            <w:r>
              <w:rPr>
                <w:rFonts w:hint="eastAsia" w:ascii="宋体" w:hAnsi="宋体" w:eastAsia="宋体" w:cs="宋体"/>
                <w:sz w:val="24"/>
                <w:szCs w:val="24"/>
                <w:lang w:eastAsia="zh-CN"/>
              </w:rPr>
              <w:t>、</w:t>
            </w:r>
            <w:r>
              <w:rPr>
                <w:rFonts w:hint="eastAsia" w:ascii="宋体" w:hAnsi="宋体" w:eastAsia="宋体" w:cs="宋体"/>
                <w:sz w:val="24"/>
                <w:szCs w:val="24"/>
              </w:rPr>
              <w:t>瞿慧敏</w:t>
            </w:r>
            <w:r>
              <w:rPr>
                <w:rFonts w:hint="eastAsia" w:ascii="宋体" w:hAnsi="宋体" w:eastAsia="宋体" w:cs="宋体"/>
                <w:sz w:val="24"/>
                <w:szCs w:val="24"/>
                <w:lang w:eastAsia="zh-CN"/>
              </w:rPr>
              <w:t>、</w:t>
            </w:r>
            <w:r>
              <w:rPr>
                <w:rFonts w:hint="eastAsia" w:ascii="宋体" w:hAnsi="宋体" w:eastAsia="宋体" w:cs="宋体"/>
                <w:sz w:val="24"/>
                <w:szCs w:val="24"/>
              </w:rPr>
              <w:t>贺佩琪</w:t>
            </w:r>
            <w:r>
              <w:rPr>
                <w:rFonts w:hint="eastAsia" w:ascii="宋体" w:hAnsi="宋体" w:eastAsia="宋体" w:cs="宋体"/>
                <w:sz w:val="24"/>
                <w:szCs w:val="24"/>
                <w:lang w:eastAsia="zh-CN"/>
              </w:rPr>
              <w:t>、</w:t>
            </w:r>
            <w:r>
              <w:rPr>
                <w:rFonts w:hint="eastAsia" w:ascii="宋体" w:hAnsi="宋体" w:eastAsia="宋体" w:cs="宋体"/>
                <w:sz w:val="24"/>
                <w:szCs w:val="24"/>
              </w:rPr>
              <w:t>赵亚沁</w:t>
            </w:r>
            <w:r>
              <w:rPr>
                <w:rFonts w:hint="eastAsia" w:ascii="宋体" w:hAnsi="宋体" w:eastAsia="宋体" w:cs="宋体"/>
                <w:sz w:val="24"/>
                <w:szCs w:val="24"/>
                <w:lang w:eastAsia="zh-CN"/>
              </w:rPr>
              <w:t>、</w:t>
            </w:r>
            <w:r>
              <w:rPr>
                <w:rFonts w:hint="eastAsia" w:ascii="宋体" w:hAnsi="宋体" w:eastAsia="宋体" w:cs="宋体"/>
                <w:sz w:val="24"/>
                <w:szCs w:val="24"/>
              </w:rPr>
              <w:t>何诗颖</w:t>
            </w:r>
          </w:p>
          <w:p w14:paraId="6308CB9E">
            <w:pPr>
              <w:snapToGrid/>
              <w:spacing w:before="156" w:beforeLines="50" w:after="156" w:afterLines="50" w:line="500" w:lineRule="exact"/>
              <w:jc w:val="center"/>
              <w:rPr>
                <w:rFonts w:hint="eastAsia" w:ascii="宋体" w:hAnsi="宋体" w:eastAsia="宋体" w:cs="宋体"/>
                <w:sz w:val="24"/>
                <w:szCs w:val="24"/>
                <w:vertAlign w:val="baseline"/>
              </w:rPr>
            </w:pPr>
          </w:p>
        </w:tc>
      </w:tr>
      <w:tr w14:paraId="4B88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0FAB1DD4">
            <w:pPr>
              <w:snapToGrid/>
              <w:spacing w:before="156" w:beforeLines="50" w:after="156" w:afterLines="50" w:line="500" w:lineRule="exact"/>
              <w:jc w:val="center"/>
              <w:rPr>
                <w:rFonts w:hint="eastAsia" w:ascii="宋体" w:hAnsi="宋体" w:eastAsia="宋体" w:cs="宋体"/>
                <w:sz w:val="24"/>
                <w:szCs w:val="24"/>
                <w:vertAlign w:val="baseline"/>
              </w:rPr>
            </w:pPr>
          </w:p>
        </w:tc>
        <w:tc>
          <w:tcPr>
            <w:tcW w:w="2841" w:type="dxa"/>
            <w:vAlign w:val="center"/>
          </w:tcPr>
          <w:p w14:paraId="2E8614FB">
            <w:pPr>
              <w:snapToGrid/>
              <w:spacing w:before="156" w:beforeLines="50" w:after="156" w:afterLines="50" w:line="500" w:lineRule="exact"/>
              <w:jc w:val="center"/>
              <w:rPr>
                <w:rFonts w:hint="eastAsia" w:ascii="宋体" w:hAnsi="宋体" w:eastAsia="宋体" w:cs="宋体"/>
                <w:sz w:val="24"/>
                <w:szCs w:val="24"/>
                <w:vertAlign w:val="baseline"/>
              </w:rPr>
            </w:pPr>
            <w:r>
              <w:rPr>
                <w:rFonts w:hint="eastAsia" w:ascii="宋体" w:hAnsi="宋体" w:eastAsia="宋体" w:cs="宋体"/>
                <w:sz w:val="24"/>
                <w:szCs w:val="24"/>
              </w:rPr>
              <w:t>基于Terfenol-D的温度不敏感双光栅微弱磁场测量系统</w:t>
            </w:r>
          </w:p>
        </w:tc>
        <w:tc>
          <w:tcPr>
            <w:tcW w:w="2841" w:type="dxa"/>
            <w:vAlign w:val="center"/>
          </w:tcPr>
          <w:p w14:paraId="3917EB44">
            <w:pPr>
              <w:snapToGrid/>
              <w:spacing w:before="156" w:beforeLines="50" w:after="156" w:afterLines="50" w:line="500" w:lineRule="exact"/>
              <w:jc w:val="center"/>
              <w:rPr>
                <w:rFonts w:hint="eastAsia" w:ascii="宋体" w:hAnsi="宋体" w:eastAsia="宋体" w:cs="宋体"/>
                <w:sz w:val="24"/>
                <w:szCs w:val="24"/>
                <w:vertAlign w:val="baseline"/>
              </w:rPr>
            </w:pPr>
            <w:r>
              <w:rPr>
                <w:rFonts w:hint="eastAsia" w:ascii="宋体" w:hAnsi="宋体" w:eastAsia="宋体" w:cs="宋体"/>
                <w:sz w:val="24"/>
                <w:szCs w:val="24"/>
              </w:rPr>
              <w:t>吴浩宁</w:t>
            </w:r>
            <w:r>
              <w:rPr>
                <w:rFonts w:hint="eastAsia" w:ascii="宋体" w:hAnsi="宋体" w:eastAsia="宋体" w:cs="宋体"/>
                <w:sz w:val="24"/>
                <w:szCs w:val="24"/>
                <w:lang w:eastAsia="zh-CN"/>
              </w:rPr>
              <w:t>、</w:t>
            </w:r>
            <w:r>
              <w:rPr>
                <w:rFonts w:hint="eastAsia" w:ascii="宋体" w:hAnsi="宋体" w:eastAsia="宋体" w:cs="宋体"/>
                <w:sz w:val="24"/>
                <w:szCs w:val="24"/>
              </w:rPr>
              <w:t>彭乐乐</w:t>
            </w:r>
            <w:r>
              <w:rPr>
                <w:rFonts w:hint="eastAsia" w:ascii="宋体" w:hAnsi="宋体" w:eastAsia="宋体" w:cs="宋体"/>
                <w:sz w:val="24"/>
                <w:szCs w:val="24"/>
                <w:lang w:eastAsia="zh-CN"/>
              </w:rPr>
              <w:t>、</w:t>
            </w:r>
            <w:r>
              <w:rPr>
                <w:rFonts w:hint="eastAsia" w:ascii="宋体" w:hAnsi="宋体" w:eastAsia="宋体" w:cs="宋体"/>
                <w:sz w:val="24"/>
                <w:szCs w:val="24"/>
              </w:rPr>
              <w:t>梁家豪</w:t>
            </w:r>
            <w:r>
              <w:rPr>
                <w:rFonts w:hint="eastAsia" w:ascii="宋体" w:hAnsi="宋体" w:eastAsia="宋体" w:cs="宋体"/>
                <w:sz w:val="24"/>
                <w:szCs w:val="24"/>
                <w:lang w:eastAsia="zh-CN"/>
              </w:rPr>
              <w:t>、</w:t>
            </w:r>
            <w:r>
              <w:rPr>
                <w:rFonts w:hint="eastAsia" w:ascii="宋体" w:hAnsi="宋体" w:eastAsia="宋体" w:cs="宋体"/>
                <w:sz w:val="24"/>
                <w:szCs w:val="24"/>
              </w:rPr>
              <w:t>熊悦桐</w:t>
            </w:r>
            <w:r>
              <w:rPr>
                <w:rFonts w:hint="eastAsia" w:ascii="宋体" w:hAnsi="宋体" w:eastAsia="宋体" w:cs="宋体"/>
                <w:sz w:val="24"/>
                <w:szCs w:val="24"/>
              </w:rPr>
              <w:br w:type="textWrapping"/>
            </w:r>
          </w:p>
        </w:tc>
      </w:tr>
      <w:tr w14:paraId="42DA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57E43CF7">
            <w:pPr>
              <w:snapToGrid/>
              <w:spacing w:before="156" w:beforeLines="50" w:after="156" w:afterLines="50" w:line="50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三等奖</w:t>
            </w:r>
          </w:p>
        </w:tc>
        <w:tc>
          <w:tcPr>
            <w:tcW w:w="2841" w:type="dxa"/>
            <w:vAlign w:val="center"/>
          </w:tcPr>
          <w:p w14:paraId="5EABBCD1">
            <w:pPr>
              <w:snapToGrid/>
              <w:spacing w:before="156" w:beforeLines="50" w:after="156" w:afterLines="50" w:line="500" w:lineRule="exact"/>
              <w:jc w:val="center"/>
              <w:rPr>
                <w:rFonts w:hint="eastAsia" w:ascii="宋体" w:hAnsi="宋体" w:eastAsia="宋体" w:cs="宋体"/>
                <w:sz w:val="24"/>
                <w:szCs w:val="24"/>
              </w:rPr>
            </w:pPr>
            <w:r>
              <w:rPr>
                <w:rFonts w:hint="eastAsia" w:ascii="宋体" w:hAnsi="宋体" w:eastAsia="宋体" w:cs="宋体"/>
                <w:sz w:val="24"/>
                <w:szCs w:val="24"/>
              </w:rPr>
              <w:t>恒力矩转动法测量刚体的转动惯量</w:t>
            </w:r>
          </w:p>
        </w:tc>
        <w:tc>
          <w:tcPr>
            <w:tcW w:w="2841" w:type="dxa"/>
            <w:vAlign w:val="center"/>
          </w:tcPr>
          <w:p w14:paraId="735C0C9E">
            <w:pPr>
              <w:snapToGrid/>
              <w:spacing w:before="156" w:beforeLines="50" w:after="156" w:afterLines="50" w:line="500" w:lineRule="exact"/>
              <w:jc w:val="center"/>
              <w:rPr>
                <w:rFonts w:hint="eastAsia" w:ascii="宋体" w:hAnsi="宋体" w:eastAsia="宋体" w:cs="宋体"/>
                <w:sz w:val="24"/>
                <w:szCs w:val="24"/>
              </w:rPr>
            </w:pPr>
            <w:r>
              <w:rPr>
                <w:rFonts w:hint="eastAsia" w:ascii="宋体" w:hAnsi="宋体" w:eastAsia="宋体" w:cs="宋体"/>
                <w:sz w:val="24"/>
                <w:szCs w:val="24"/>
              </w:rPr>
              <w:t>刘海漩</w:t>
            </w:r>
            <w:r>
              <w:rPr>
                <w:rFonts w:hint="eastAsia" w:ascii="宋体" w:hAnsi="宋体" w:eastAsia="宋体" w:cs="宋体"/>
                <w:sz w:val="24"/>
                <w:szCs w:val="24"/>
                <w:lang w:eastAsia="zh-CN"/>
              </w:rPr>
              <w:t>、</w:t>
            </w:r>
            <w:r>
              <w:rPr>
                <w:rFonts w:hint="eastAsia" w:ascii="宋体" w:hAnsi="宋体" w:eastAsia="宋体" w:cs="宋体"/>
                <w:sz w:val="24"/>
                <w:szCs w:val="24"/>
              </w:rPr>
              <w:t>蒋慧颖</w:t>
            </w:r>
            <w:r>
              <w:rPr>
                <w:rFonts w:hint="eastAsia" w:ascii="宋体" w:hAnsi="宋体" w:eastAsia="宋体" w:cs="宋体"/>
                <w:sz w:val="24"/>
                <w:szCs w:val="24"/>
                <w:lang w:eastAsia="zh-CN"/>
              </w:rPr>
              <w:t>、</w:t>
            </w:r>
            <w:r>
              <w:rPr>
                <w:rFonts w:hint="eastAsia" w:ascii="宋体" w:hAnsi="宋体" w:eastAsia="宋体" w:cs="宋体"/>
                <w:sz w:val="24"/>
                <w:szCs w:val="24"/>
              </w:rPr>
              <w:t>杨佳仪</w:t>
            </w:r>
          </w:p>
        </w:tc>
      </w:tr>
      <w:tr w14:paraId="7A16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29B66D39">
            <w:pPr>
              <w:snapToGrid/>
              <w:spacing w:before="156" w:beforeLines="50" w:after="156" w:afterLines="50" w:line="500" w:lineRule="exact"/>
              <w:jc w:val="center"/>
              <w:rPr>
                <w:rFonts w:hint="eastAsia" w:ascii="宋体" w:hAnsi="宋体" w:eastAsia="宋体" w:cs="宋体"/>
                <w:sz w:val="24"/>
                <w:szCs w:val="24"/>
                <w:vertAlign w:val="baseline"/>
              </w:rPr>
            </w:pPr>
          </w:p>
        </w:tc>
        <w:tc>
          <w:tcPr>
            <w:tcW w:w="2841" w:type="dxa"/>
            <w:vAlign w:val="center"/>
          </w:tcPr>
          <w:p w14:paraId="3C246CDE">
            <w:pPr>
              <w:snapToGrid/>
              <w:spacing w:before="156" w:beforeLines="50" w:after="156" w:afterLines="50" w:line="500" w:lineRule="exact"/>
              <w:jc w:val="center"/>
              <w:rPr>
                <w:rFonts w:hint="eastAsia" w:ascii="宋体" w:hAnsi="宋体" w:eastAsia="宋体" w:cs="宋体"/>
                <w:sz w:val="24"/>
                <w:szCs w:val="24"/>
              </w:rPr>
            </w:pPr>
            <w:r>
              <w:rPr>
                <w:rFonts w:hint="eastAsia" w:ascii="宋体" w:hAnsi="宋体" w:eastAsia="宋体" w:cs="宋体"/>
                <w:sz w:val="24"/>
                <w:szCs w:val="24"/>
              </w:rPr>
              <w:t>观察光的偏振</w:t>
            </w:r>
          </w:p>
        </w:tc>
        <w:tc>
          <w:tcPr>
            <w:tcW w:w="2841" w:type="dxa"/>
            <w:vAlign w:val="center"/>
          </w:tcPr>
          <w:p w14:paraId="182BEDC7">
            <w:pPr>
              <w:snapToGrid/>
              <w:spacing w:before="156" w:beforeLines="50" w:after="156" w:afterLines="50" w:line="500" w:lineRule="exact"/>
              <w:jc w:val="center"/>
              <w:rPr>
                <w:rFonts w:hint="eastAsia" w:ascii="宋体" w:hAnsi="宋体" w:eastAsia="宋体" w:cs="宋体"/>
                <w:sz w:val="24"/>
                <w:szCs w:val="24"/>
              </w:rPr>
            </w:pPr>
            <w:r>
              <w:rPr>
                <w:rFonts w:hint="eastAsia" w:ascii="宋体" w:hAnsi="宋体" w:eastAsia="宋体" w:cs="宋体"/>
                <w:sz w:val="24"/>
                <w:szCs w:val="24"/>
              </w:rPr>
              <w:t>庄秋香</w:t>
            </w:r>
            <w:r>
              <w:rPr>
                <w:rFonts w:hint="eastAsia" w:ascii="宋体" w:hAnsi="宋体" w:eastAsia="宋体" w:cs="宋体"/>
                <w:sz w:val="24"/>
                <w:szCs w:val="24"/>
                <w:lang w:eastAsia="zh-CN"/>
              </w:rPr>
              <w:t>、</w:t>
            </w:r>
            <w:r>
              <w:rPr>
                <w:rFonts w:hint="eastAsia" w:ascii="宋体" w:hAnsi="宋体" w:eastAsia="宋体" w:cs="宋体"/>
                <w:sz w:val="24"/>
                <w:szCs w:val="24"/>
              </w:rPr>
              <w:t>段越</w:t>
            </w:r>
            <w:r>
              <w:rPr>
                <w:rFonts w:hint="eastAsia" w:ascii="宋体" w:hAnsi="宋体" w:eastAsia="宋体" w:cs="宋体"/>
                <w:sz w:val="24"/>
                <w:szCs w:val="24"/>
                <w:lang w:eastAsia="zh-CN"/>
              </w:rPr>
              <w:t>、</w:t>
            </w:r>
            <w:r>
              <w:rPr>
                <w:rFonts w:hint="eastAsia" w:ascii="宋体" w:hAnsi="宋体" w:eastAsia="宋体" w:cs="宋体"/>
                <w:sz w:val="24"/>
                <w:szCs w:val="24"/>
              </w:rPr>
              <w:t>何紫茹</w:t>
            </w:r>
          </w:p>
        </w:tc>
      </w:tr>
    </w:tbl>
    <w:p w14:paraId="703C4BA4">
      <w:pPr>
        <w:snapToGrid/>
        <w:spacing w:before="156" w:beforeLines="50" w:after="156" w:afterLines="5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2681EDB0">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MThmMjIyMGVkYjE1YWI1NzYzMzc5MTI2Mjc5MWIifQ=="/>
  </w:docVars>
  <w:rsids>
    <w:rsidRoot w:val="00EC0101"/>
    <w:rsid w:val="0013737C"/>
    <w:rsid w:val="00381BE4"/>
    <w:rsid w:val="005D63A4"/>
    <w:rsid w:val="008D0F34"/>
    <w:rsid w:val="009434F7"/>
    <w:rsid w:val="00957C11"/>
    <w:rsid w:val="00A051B9"/>
    <w:rsid w:val="00A86283"/>
    <w:rsid w:val="00B574B5"/>
    <w:rsid w:val="00C1237E"/>
    <w:rsid w:val="00CC3A66"/>
    <w:rsid w:val="00E23224"/>
    <w:rsid w:val="00EC0101"/>
    <w:rsid w:val="0A54506E"/>
    <w:rsid w:val="106F0166"/>
    <w:rsid w:val="141642A2"/>
    <w:rsid w:val="15516B2B"/>
    <w:rsid w:val="28D45E6A"/>
    <w:rsid w:val="54B56B1D"/>
    <w:rsid w:val="5B136F0D"/>
    <w:rsid w:val="5C2D3FFE"/>
    <w:rsid w:val="70A26911"/>
    <w:rsid w:val="778B0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qFormat/>
    <w:uiPriority w:val="99"/>
    <w:rPr>
      <w:sz w:val="18"/>
      <w:szCs w:val="18"/>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2 Char"/>
    <w:basedOn w:val="6"/>
    <w:link w:val="2"/>
    <w:qFormat/>
    <w:uiPriority w:val="9"/>
    <w:rPr>
      <w:rFonts w:ascii="宋体" w:hAnsi="宋体" w:eastAsia="宋体" w:cs="宋体"/>
      <w:b/>
      <w:bCs/>
      <w:kern w:val="0"/>
      <w:sz w:val="36"/>
      <w:szCs w:val="36"/>
    </w:rPr>
  </w:style>
  <w:style w:type="character" w:customStyle="1" w:styleId="8">
    <w:name w:val="批注框文本 Char"/>
    <w:basedOn w:val="6"/>
    <w:link w:val="3"/>
    <w:semiHidden/>
    <w:uiPriority w:val="99"/>
    <w:rPr>
      <w:sz w:val="18"/>
      <w:szCs w:val="18"/>
    </w:rPr>
  </w:style>
  <w:style w:type="paragraph" w:customStyle="1" w:styleId="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899</Words>
  <Characters>926</Characters>
  <Lines>6</Lines>
  <Paragraphs>1</Paragraphs>
  <TotalTime>21</TotalTime>
  <ScaleCrop>false</ScaleCrop>
  <LinksUpToDate>false</LinksUpToDate>
  <CharactersWithSpaces>936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2024-11-10T13:29:00Z</dcterms:created>
  <dc:creator>Windows 用户</dc:creator>
  <cp:lastModifiedBy>贺祖龙</cp:lastModifiedBy>
  <dcterms:modified xsi:type="dcterms:W3CDTF">2024-12-12T09:24:07Z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22480D55C3554EBB947D72F3D363E2BC_13</vt:lpwstr>
  </property>
</Properties>
</file>